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C0" w:rsidRPr="006E681F" w:rsidRDefault="00470DC0" w:rsidP="006E681F">
      <w:pPr>
        <w:autoSpaceDE w:val="0"/>
        <w:autoSpaceDN w:val="0"/>
        <w:adjustRightInd w:val="0"/>
        <w:spacing w:after="0" w:line="240" w:lineRule="auto"/>
        <w:jc w:val="both"/>
        <w:rPr>
          <w:rFonts w:ascii="Arial" w:hAnsi="Arial" w:cs="Arial"/>
          <w:b/>
          <w:sz w:val="36"/>
          <w:lang w:val="fr-FR"/>
        </w:rPr>
      </w:pPr>
      <w:r>
        <w:rPr>
          <w:rFonts w:ascii="Arial" w:hAnsi="Arial" w:cs="Arial"/>
          <w:b/>
          <w:bCs/>
          <w:sz w:val="36"/>
          <w:lang w:val="fr"/>
        </w:rPr>
        <w:t>Actions et délais – Échéancier du projet personnel</w:t>
      </w:r>
    </w:p>
    <w:p w:rsidR="00470DC0" w:rsidRPr="006E681F" w:rsidRDefault="00470DC0" w:rsidP="006E681F">
      <w:pPr>
        <w:autoSpaceDE w:val="0"/>
        <w:autoSpaceDN w:val="0"/>
        <w:adjustRightInd w:val="0"/>
        <w:spacing w:after="0" w:line="240" w:lineRule="auto"/>
        <w:jc w:val="both"/>
        <w:rPr>
          <w:rFonts w:ascii="Arial" w:hAnsi="Arial" w:cs="Arial"/>
          <w:lang w:val="fr-FR"/>
        </w:rPr>
      </w:pPr>
    </w:p>
    <w:p w:rsidR="00470DC0" w:rsidRPr="006E681F" w:rsidRDefault="00006560" w:rsidP="006E681F">
      <w:pPr>
        <w:autoSpaceDE w:val="0"/>
        <w:autoSpaceDN w:val="0"/>
        <w:adjustRightInd w:val="0"/>
        <w:spacing w:after="0" w:line="240" w:lineRule="auto"/>
        <w:jc w:val="both"/>
        <w:rPr>
          <w:rFonts w:ascii="Arial" w:hAnsi="Arial" w:cs="Arial"/>
          <w:lang w:val="fr-FR"/>
        </w:rPr>
      </w:pPr>
      <w:r>
        <w:rPr>
          <w:rFonts w:ascii="Arial" w:hAnsi="Arial" w:cs="Arial"/>
          <w:color w:val="000000" w:themeColor="text1"/>
          <w:lang w:val="fr"/>
        </w:rPr>
        <w:t>Tous les élèves du PEI de 5</w:t>
      </w:r>
      <w:r>
        <w:rPr>
          <w:rFonts w:ascii="Arial" w:hAnsi="Arial" w:cs="Arial"/>
          <w:color w:val="000000" w:themeColor="text1"/>
          <w:vertAlign w:val="superscript"/>
          <w:lang w:val="fr"/>
        </w:rPr>
        <w:t>e</w:t>
      </w:r>
      <w:r>
        <w:rPr>
          <w:rFonts w:ascii="Arial" w:hAnsi="Arial" w:cs="Arial"/>
          <w:color w:val="000000" w:themeColor="text1"/>
          <w:lang w:val="fr"/>
        </w:rPr>
        <w:t xml:space="preserve"> année doivent être inscrits au plus tard le 20 janvier 2016 pour la session de révision de notation externe du projet personnel qui aura lieu en mai 2016. </w:t>
      </w:r>
    </w:p>
    <w:p w:rsidR="00470DC0" w:rsidRPr="006E681F" w:rsidRDefault="00470DC0" w:rsidP="006E681F">
      <w:pPr>
        <w:autoSpaceDE w:val="0"/>
        <w:autoSpaceDN w:val="0"/>
        <w:adjustRightInd w:val="0"/>
        <w:spacing w:after="0" w:line="240" w:lineRule="auto"/>
        <w:jc w:val="both"/>
        <w:rPr>
          <w:rFonts w:ascii="Arial" w:hAnsi="Arial" w:cs="Arial"/>
          <w:lang w:val="fr-FR"/>
        </w:rPr>
      </w:pPr>
    </w:p>
    <w:p w:rsidR="00470DC0" w:rsidRPr="006E681F" w:rsidRDefault="00470DC0" w:rsidP="006E681F">
      <w:pPr>
        <w:autoSpaceDE w:val="0"/>
        <w:autoSpaceDN w:val="0"/>
        <w:adjustRightInd w:val="0"/>
        <w:spacing w:line="191" w:lineRule="atLeast"/>
        <w:jc w:val="both"/>
        <w:rPr>
          <w:rFonts w:ascii="Arial" w:hAnsi="Arial" w:cs="Arial"/>
          <w:color w:val="211D1E"/>
          <w:lang w:val="fr-FR"/>
        </w:rPr>
      </w:pPr>
      <w:r>
        <w:rPr>
          <w:rFonts w:ascii="Arial" w:hAnsi="Arial" w:cs="Arial"/>
          <w:color w:val="211D1E"/>
          <w:lang w:val="fr"/>
        </w:rPr>
        <w:t xml:space="preserve">Les projets personnels doivent être réalisés et présentés dans l'une des langues prises en charge pour la révision de notation du PEI. Si des élèves désirent effectuer leur projet dans une langue différente, l'établissement doit envoyer une demande spéciale à l'IB afin que la ou les langues concernées puissent être prises en charge, avant les dates limites indiquées ci-dessous.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6"/>
        <w:gridCol w:w="2396"/>
        <w:gridCol w:w="2564"/>
      </w:tblGrid>
      <w:tr w:rsidR="00470DC0" w:rsidRPr="00004392" w:rsidTr="00A928F2">
        <w:trPr>
          <w:trHeight w:val="244"/>
        </w:trPr>
        <w:tc>
          <w:tcPr>
            <w:tcW w:w="2249" w:type="pct"/>
            <w:shd w:val="clear" w:color="auto" w:fill="auto"/>
            <w:tcMar>
              <w:top w:w="15" w:type="dxa"/>
              <w:left w:w="108" w:type="dxa"/>
              <w:bottom w:w="0" w:type="dxa"/>
              <w:right w:w="108" w:type="dxa"/>
            </w:tcMar>
            <w:vAlign w:val="center"/>
          </w:tcPr>
          <w:p w:rsidR="00470DC0" w:rsidRPr="006E681F" w:rsidRDefault="00470DC0" w:rsidP="006E681F">
            <w:pPr>
              <w:jc w:val="both"/>
              <w:rPr>
                <w:rFonts w:ascii="Arial" w:hAnsi="Arial" w:cs="Arial"/>
                <w:b/>
                <w:bCs/>
                <w:lang w:val="fr-FR"/>
              </w:rPr>
            </w:pPr>
          </w:p>
        </w:tc>
        <w:tc>
          <w:tcPr>
            <w:tcW w:w="1329" w:type="pct"/>
            <w:shd w:val="clear" w:color="auto" w:fill="auto"/>
            <w:tcMar>
              <w:top w:w="15" w:type="dxa"/>
              <w:left w:w="108" w:type="dxa"/>
              <w:bottom w:w="0" w:type="dxa"/>
              <w:right w:w="108" w:type="dxa"/>
            </w:tcMar>
            <w:vAlign w:val="center"/>
          </w:tcPr>
          <w:p w:rsidR="00470DC0" w:rsidRPr="00004392" w:rsidRDefault="00470DC0" w:rsidP="006E681F">
            <w:pPr>
              <w:jc w:val="both"/>
              <w:rPr>
                <w:rFonts w:ascii="Arial" w:hAnsi="Arial" w:cs="Arial"/>
                <w:b/>
                <w:bCs/>
              </w:rPr>
            </w:pPr>
            <w:r>
              <w:rPr>
                <w:rFonts w:ascii="Arial" w:hAnsi="Arial" w:cs="Arial"/>
                <w:b/>
                <w:bCs/>
                <w:lang w:val="fr"/>
              </w:rPr>
              <w:t>Session de mai</w:t>
            </w:r>
          </w:p>
        </w:tc>
        <w:tc>
          <w:tcPr>
            <w:tcW w:w="1422" w:type="pct"/>
            <w:shd w:val="clear" w:color="auto" w:fill="auto"/>
            <w:tcMar>
              <w:top w:w="15" w:type="dxa"/>
              <w:left w:w="108" w:type="dxa"/>
              <w:bottom w:w="0" w:type="dxa"/>
              <w:right w:w="108" w:type="dxa"/>
            </w:tcMar>
            <w:vAlign w:val="center"/>
          </w:tcPr>
          <w:p w:rsidR="00470DC0" w:rsidRPr="00004392" w:rsidRDefault="00470DC0" w:rsidP="006E681F">
            <w:pPr>
              <w:jc w:val="both"/>
              <w:rPr>
                <w:rFonts w:ascii="Arial" w:hAnsi="Arial" w:cs="Arial"/>
                <w:b/>
                <w:bCs/>
              </w:rPr>
            </w:pPr>
            <w:r>
              <w:rPr>
                <w:rFonts w:ascii="Arial" w:hAnsi="Arial" w:cs="Arial"/>
                <w:b/>
                <w:bCs/>
                <w:lang w:val="fr"/>
              </w:rPr>
              <w:t>Session de novembre</w:t>
            </w:r>
          </w:p>
        </w:tc>
      </w:tr>
      <w:tr w:rsidR="00470DC0" w:rsidRPr="00004392" w:rsidTr="00A928F2">
        <w:trPr>
          <w:trHeight w:val="348"/>
        </w:trPr>
        <w:tc>
          <w:tcPr>
            <w:tcW w:w="5000" w:type="pct"/>
            <w:gridSpan w:val="3"/>
            <w:shd w:val="clear" w:color="auto" w:fill="auto"/>
            <w:tcMar>
              <w:top w:w="15" w:type="dxa"/>
              <w:left w:w="108" w:type="dxa"/>
              <w:bottom w:w="0" w:type="dxa"/>
              <w:right w:w="108" w:type="dxa"/>
            </w:tcMar>
            <w:vAlign w:val="center"/>
          </w:tcPr>
          <w:p w:rsidR="00470DC0" w:rsidRPr="00004392" w:rsidRDefault="00470DC0" w:rsidP="006E681F">
            <w:pPr>
              <w:jc w:val="both"/>
              <w:rPr>
                <w:rFonts w:ascii="Arial" w:hAnsi="Arial" w:cs="Arial"/>
                <w:b/>
                <w:bCs/>
              </w:rPr>
            </w:pPr>
            <w:r>
              <w:rPr>
                <w:rFonts w:ascii="Arial" w:hAnsi="Arial" w:cs="Arial"/>
                <w:b/>
                <w:bCs/>
                <w:lang w:val="fr"/>
              </w:rPr>
              <w:t>Inscription des candidats</w:t>
            </w:r>
          </w:p>
        </w:tc>
      </w:tr>
      <w:tr w:rsidR="00470DC0" w:rsidRPr="00004392" w:rsidTr="0023775E">
        <w:trPr>
          <w:trHeight w:val="908"/>
        </w:trPr>
        <w:tc>
          <w:tcPr>
            <w:tcW w:w="2249" w:type="pct"/>
            <w:shd w:val="clear" w:color="auto" w:fill="auto"/>
            <w:tcMar>
              <w:top w:w="15" w:type="dxa"/>
              <w:left w:w="108" w:type="dxa"/>
              <w:bottom w:w="0" w:type="dxa"/>
              <w:right w:w="108" w:type="dxa"/>
            </w:tcMar>
          </w:tcPr>
          <w:p w:rsidR="00006560" w:rsidRDefault="00470DC0" w:rsidP="006E681F">
            <w:pPr>
              <w:autoSpaceDE w:val="0"/>
              <w:autoSpaceDN w:val="0"/>
              <w:adjustRightInd w:val="0"/>
              <w:spacing w:after="40" w:line="181" w:lineRule="atLeast"/>
              <w:jc w:val="both"/>
              <w:rPr>
                <w:rFonts w:ascii="Arial" w:hAnsi="Arial" w:cs="Arial"/>
              </w:rPr>
            </w:pPr>
            <w:r>
              <w:rPr>
                <w:rFonts w:ascii="Arial" w:hAnsi="Arial" w:cs="Arial"/>
                <w:lang w:val="fr"/>
              </w:rPr>
              <w:t>Première date limite d’inscription</w:t>
            </w:r>
          </w:p>
          <w:p w:rsidR="00302BE0" w:rsidRDefault="00302BE0" w:rsidP="006E681F">
            <w:pPr>
              <w:autoSpaceDE w:val="0"/>
              <w:autoSpaceDN w:val="0"/>
              <w:adjustRightInd w:val="0"/>
              <w:spacing w:after="40" w:line="181" w:lineRule="atLeast"/>
              <w:jc w:val="both"/>
              <w:rPr>
                <w:rFonts w:ascii="Arial" w:hAnsi="Arial" w:cs="Arial"/>
              </w:rPr>
            </w:pPr>
          </w:p>
          <w:p w:rsidR="00AD72AA" w:rsidRPr="006E681F" w:rsidRDefault="00006560" w:rsidP="006E681F">
            <w:pPr>
              <w:pStyle w:val="ListParagraph"/>
              <w:numPr>
                <w:ilvl w:val="0"/>
                <w:numId w:val="1"/>
              </w:numPr>
              <w:autoSpaceDE w:val="0"/>
              <w:autoSpaceDN w:val="0"/>
              <w:adjustRightInd w:val="0"/>
              <w:spacing w:after="40" w:line="181" w:lineRule="atLeast"/>
              <w:jc w:val="both"/>
              <w:rPr>
                <w:rFonts w:ascii="Arial" w:hAnsi="Arial" w:cs="Arial"/>
                <w:lang w:val="fr-FR"/>
              </w:rPr>
            </w:pPr>
            <w:r>
              <w:rPr>
                <w:rFonts w:ascii="Arial" w:hAnsi="Arial" w:cs="Arial"/>
                <w:lang w:val="fr"/>
              </w:rPr>
              <w:t>Les inscriptions effectuées après cette date limite seront soumises à des frais supplémentaires. Les établissements qui n'inscrivent des candidats que pour le projet personnel doivent s'assurer que les inscriptions sont bien effectuées dans les délais indiqués afin d'éviter que des frais supplémentaires ne soient appliqués. Ils doivent également effectuer des demandes spéciales pour l'évaluation en 2017 de projets personnels réalisés dans une langue non prise en charge.</w:t>
            </w:r>
          </w:p>
          <w:p w:rsidR="00AD72AA" w:rsidRPr="006E681F" w:rsidRDefault="00AD72AA" w:rsidP="006E681F">
            <w:pPr>
              <w:autoSpaceDE w:val="0"/>
              <w:autoSpaceDN w:val="0"/>
              <w:adjustRightInd w:val="0"/>
              <w:spacing w:after="40" w:line="181" w:lineRule="atLeast"/>
              <w:jc w:val="both"/>
              <w:rPr>
                <w:rFonts w:ascii="Arial" w:hAnsi="Arial" w:cs="Arial"/>
                <w:lang w:val="fr-FR"/>
              </w:rPr>
            </w:pPr>
          </w:p>
        </w:tc>
        <w:tc>
          <w:tcPr>
            <w:tcW w:w="1329" w:type="pct"/>
            <w:shd w:val="clear" w:color="auto" w:fill="auto"/>
            <w:tcMar>
              <w:top w:w="15" w:type="dxa"/>
              <w:left w:w="108" w:type="dxa"/>
              <w:bottom w:w="0" w:type="dxa"/>
              <w:right w:w="108" w:type="dxa"/>
            </w:tcMar>
          </w:tcPr>
          <w:p w:rsidR="00470DC0" w:rsidRPr="00B47510" w:rsidRDefault="00470DC0" w:rsidP="006E681F">
            <w:pPr>
              <w:autoSpaceDE w:val="0"/>
              <w:autoSpaceDN w:val="0"/>
              <w:adjustRightInd w:val="0"/>
              <w:spacing w:after="40" w:line="181" w:lineRule="atLeast"/>
              <w:jc w:val="both"/>
              <w:rPr>
                <w:rFonts w:ascii="Arial" w:hAnsi="Arial" w:cs="Arial"/>
              </w:rPr>
            </w:pPr>
            <w:r>
              <w:rPr>
                <w:rFonts w:ascii="Arial" w:hAnsi="Arial" w:cs="Arial"/>
                <w:lang w:val="fr"/>
              </w:rPr>
              <w:t xml:space="preserve">20 octobre 2015 </w:t>
            </w:r>
          </w:p>
        </w:tc>
        <w:tc>
          <w:tcPr>
            <w:tcW w:w="1422" w:type="pct"/>
            <w:shd w:val="clear" w:color="auto" w:fill="auto"/>
            <w:tcMar>
              <w:top w:w="15" w:type="dxa"/>
              <w:left w:w="108" w:type="dxa"/>
              <w:bottom w:w="0" w:type="dxa"/>
              <w:right w:w="108" w:type="dxa"/>
            </w:tcMar>
          </w:tcPr>
          <w:p w:rsidR="00470DC0" w:rsidRPr="00B47510" w:rsidRDefault="00470DC0" w:rsidP="006E681F">
            <w:pPr>
              <w:autoSpaceDE w:val="0"/>
              <w:autoSpaceDN w:val="0"/>
              <w:adjustRightInd w:val="0"/>
              <w:spacing w:after="40" w:line="181" w:lineRule="atLeast"/>
              <w:jc w:val="both"/>
              <w:rPr>
                <w:rFonts w:ascii="Arial" w:hAnsi="Arial" w:cs="Arial"/>
              </w:rPr>
            </w:pPr>
            <w:r>
              <w:rPr>
                <w:rFonts w:ascii="Arial" w:hAnsi="Arial" w:cs="Arial"/>
                <w:lang w:val="fr"/>
              </w:rPr>
              <w:t xml:space="preserve">20 avril 2016 </w:t>
            </w:r>
          </w:p>
        </w:tc>
      </w:tr>
      <w:tr w:rsidR="00470DC0" w:rsidRPr="00004392" w:rsidTr="0023775E">
        <w:trPr>
          <w:trHeight w:val="908"/>
        </w:trPr>
        <w:tc>
          <w:tcPr>
            <w:tcW w:w="2249" w:type="pct"/>
            <w:shd w:val="clear" w:color="auto" w:fill="auto"/>
            <w:tcMar>
              <w:top w:w="15" w:type="dxa"/>
              <w:left w:w="108" w:type="dxa"/>
              <w:bottom w:w="0" w:type="dxa"/>
              <w:right w:w="108" w:type="dxa"/>
            </w:tcMar>
            <w:hideMark/>
          </w:tcPr>
          <w:p w:rsidR="00302BE0" w:rsidRDefault="00470DC0" w:rsidP="006E681F">
            <w:pPr>
              <w:autoSpaceDE w:val="0"/>
              <w:autoSpaceDN w:val="0"/>
              <w:adjustRightInd w:val="0"/>
              <w:spacing w:after="40" w:line="181" w:lineRule="atLeast"/>
              <w:jc w:val="both"/>
              <w:rPr>
                <w:rFonts w:ascii="Arial" w:hAnsi="Arial" w:cs="Arial"/>
              </w:rPr>
            </w:pPr>
            <w:r>
              <w:rPr>
                <w:rFonts w:ascii="Arial" w:hAnsi="Arial" w:cs="Arial"/>
                <w:lang w:val="fr"/>
              </w:rPr>
              <w:t>Seconde date limite d’inscription</w:t>
            </w:r>
          </w:p>
          <w:p w:rsidR="00470DC0" w:rsidRPr="006E681F" w:rsidRDefault="00302BE0" w:rsidP="006E681F">
            <w:pPr>
              <w:pStyle w:val="ListParagraph"/>
              <w:numPr>
                <w:ilvl w:val="0"/>
                <w:numId w:val="1"/>
              </w:numPr>
              <w:autoSpaceDE w:val="0"/>
              <w:autoSpaceDN w:val="0"/>
              <w:adjustRightInd w:val="0"/>
              <w:spacing w:after="40" w:line="181" w:lineRule="atLeast"/>
              <w:jc w:val="both"/>
              <w:rPr>
                <w:rFonts w:ascii="Arial" w:hAnsi="Arial" w:cs="Arial"/>
                <w:lang w:val="fr-FR"/>
              </w:rPr>
            </w:pPr>
            <w:r>
              <w:rPr>
                <w:rFonts w:ascii="Arial" w:hAnsi="Arial" w:cs="Arial"/>
                <w:lang w:val="fr"/>
              </w:rPr>
              <w:t xml:space="preserve">Passé cette date, les frais d'inscription seront beaucoup plus élevés. </w:t>
            </w:r>
          </w:p>
        </w:tc>
        <w:tc>
          <w:tcPr>
            <w:tcW w:w="1329" w:type="pct"/>
            <w:shd w:val="clear" w:color="auto" w:fill="auto"/>
            <w:tcMar>
              <w:top w:w="15" w:type="dxa"/>
              <w:left w:w="108" w:type="dxa"/>
              <w:bottom w:w="0" w:type="dxa"/>
              <w:right w:w="108" w:type="dxa"/>
            </w:tcMar>
            <w:hideMark/>
          </w:tcPr>
          <w:p w:rsidR="00470DC0" w:rsidRPr="00B47510" w:rsidRDefault="00470DC0" w:rsidP="006E681F">
            <w:pPr>
              <w:autoSpaceDE w:val="0"/>
              <w:autoSpaceDN w:val="0"/>
              <w:adjustRightInd w:val="0"/>
              <w:spacing w:after="40" w:line="181" w:lineRule="atLeast"/>
              <w:jc w:val="both"/>
              <w:rPr>
                <w:rFonts w:ascii="Arial" w:hAnsi="Arial" w:cs="Arial"/>
              </w:rPr>
            </w:pPr>
            <w:r>
              <w:rPr>
                <w:rFonts w:ascii="Arial" w:hAnsi="Arial" w:cs="Arial"/>
                <w:lang w:val="fr"/>
              </w:rPr>
              <w:t xml:space="preserve">20 janvier 2016 </w:t>
            </w:r>
          </w:p>
        </w:tc>
        <w:tc>
          <w:tcPr>
            <w:tcW w:w="1422" w:type="pct"/>
            <w:shd w:val="clear" w:color="auto" w:fill="auto"/>
            <w:tcMar>
              <w:top w:w="15" w:type="dxa"/>
              <w:left w:w="108" w:type="dxa"/>
              <w:bottom w:w="0" w:type="dxa"/>
              <w:right w:w="108" w:type="dxa"/>
            </w:tcMar>
            <w:hideMark/>
          </w:tcPr>
          <w:p w:rsidR="00470DC0" w:rsidRPr="00B47510" w:rsidRDefault="00470DC0" w:rsidP="006E681F">
            <w:pPr>
              <w:autoSpaceDE w:val="0"/>
              <w:autoSpaceDN w:val="0"/>
              <w:adjustRightInd w:val="0"/>
              <w:spacing w:after="40" w:line="181" w:lineRule="atLeast"/>
              <w:jc w:val="both"/>
              <w:rPr>
                <w:rFonts w:ascii="Arial" w:hAnsi="Arial" w:cs="Arial"/>
              </w:rPr>
            </w:pPr>
            <w:r>
              <w:rPr>
                <w:rFonts w:ascii="Arial" w:hAnsi="Arial" w:cs="Arial"/>
                <w:lang w:val="fr"/>
              </w:rPr>
              <w:t xml:space="preserve">20 juillet 2016 </w:t>
            </w:r>
          </w:p>
        </w:tc>
      </w:tr>
      <w:tr w:rsidR="00470DC0" w:rsidRPr="00004392" w:rsidTr="00A928F2">
        <w:trPr>
          <w:trHeight w:val="368"/>
        </w:trPr>
        <w:tc>
          <w:tcPr>
            <w:tcW w:w="5000" w:type="pct"/>
            <w:gridSpan w:val="3"/>
            <w:shd w:val="clear" w:color="auto" w:fill="auto"/>
            <w:tcMar>
              <w:top w:w="15" w:type="dxa"/>
              <w:left w:w="108" w:type="dxa"/>
              <w:bottom w:w="0" w:type="dxa"/>
              <w:right w:w="108" w:type="dxa"/>
            </w:tcMar>
          </w:tcPr>
          <w:p w:rsidR="00470DC0" w:rsidRPr="00004392" w:rsidRDefault="00470DC0" w:rsidP="006E681F">
            <w:pPr>
              <w:autoSpaceDE w:val="0"/>
              <w:autoSpaceDN w:val="0"/>
              <w:adjustRightInd w:val="0"/>
              <w:spacing w:after="40" w:line="181" w:lineRule="atLeast"/>
              <w:jc w:val="both"/>
              <w:rPr>
                <w:rFonts w:ascii="Arial" w:hAnsi="Arial" w:cs="Arial"/>
                <w:b/>
              </w:rPr>
            </w:pPr>
            <w:r>
              <w:rPr>
                <w:rFonts w:ascii="Arial" w:hAnsi="Arial" w:cs="Arial"/>
                <w:b/>
                <w:bCs/>
                <w:lang w:val="fr"/>
              </w:rPr>
              <w:t xml:space="preserve">Projet personnel </w:t>
            </w:r>
          </w:p>
        </w:tc>
      </w:tr>
      <w:tr w:rsidR="00470DC0" w:rsidRPr="00004392" w:rsidTr="00A928F2">
        <w:trPr>
          <w:trHeight w:val="673"/>
        </w:trPr>
        <w:tc>
          <w:tcPr>
            <w:tcW w:w="2249" w:type="pct"/>
            <w:shd w:val="clear" w:color="auto" w:fill="auto"/>
            <w:tcMar>
              <w:top w:w="15" w:type="dxa"/>
              <w:left w:w="108" w:type="dxa"/>
              <w:bottom w:w="0" w:type="dxa"/>
              <w:right w:w="108" w:type="dxa"/>
            </w:tcMar>
            <w:vAlign w:val="center"/>
            <w:hideMark/>
          </w:tcPr>
          <w:p w:rsidR="00470DC0" w:rsidRPr="006E681F" w:rsidRDefault="00470DC0" w:rsidP="006E681F">
            <w:pPr>
              <w:jc w:val="both"/>
              <w:rPr>
                <w:rFonts w:ascii="Arial" w:hAnsi="Arial" w:cs="Arial"/>
                <w:lang w:val="fr-FR"/>
              </w:rPr>
            </w:pPr>
            <w:r>
              <w:rPr>
                <w:rFonts w:ascii="Arial" w:hAnsi="Arial" w:cs="Arial"/>
                <w:lang w:val="fr"/>
              </w:rPr>
              <w:t>Envoi aux établissements de l’avis de l’IB relatif aux langues admises sur demande spéciale pour la session d'évaluation de 2017.</w:t>
            </w:r>
          </w:p>
        </w:tc>
        <w:tc>
          <w:tcPr>
            <w:tcW w:w="1329"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28 février 2016 (15 mois à l’avance)</w:t>
            </w:r>
          </w:p>
        </w:tc>
        <w:tc>
          <w:tcPr>
            <w:tcW w:w="1422"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28 août 2016 (15 mois à l’avance)</w:t>
            </w:r>
          </w:p>
        </w:tc>
      </w:tr>
      <w:tr w:rsidR="00470DC0" w:rsidRPr="00004392" w:rsidTr="00A928F2">
        <w:trPr>
          <w:trHeight w:val="797"/>
        </w:trPr>
        <w:tc>
          <w:tcPr>
            <w:tcW w:w="2249" w:type="pct"/>
            <w:shd w:val="clear" w:color="auto" w:fill="auto"/>
            <w:tcMar>
              <w:top w:w="15" w:type="dxa"/>
              <w:left w:w="108" w:type="dxa"/>
              <w:bottom w:w="0" w:type="dxa"/>
              <w:right w:w="108" w:type="dxa"/>
            </w:tcMar>
            <w:vAlign w:val="center"/>
            <w:hideMark/>
          </w:tcPr>
          <w:p w:rsidR="00470DC0" w:rsidRPr="006E681F" w:rsidRDefault="00470DC0" w:rsidP="006E681F">
            <w:pPr>
              <w:jc w:val="both"/>
              <w:rPr>
                <w:rFonts w:ascii="Arial" w:hAnsi="Arial" w:cs="Arial"/>
                <w:lang w:val="fr-FR"/>
              </w:rPr>
            </w:pPr>
            <w:r>
              <w:rPr>
                <w:rFonts w:ascii="Arial" w:hAnsi="Arial" w:cs="Arial"/>
                <w:lang w:val="fr"/>
              </w:rPr>
              <w:t>Échéance pour l’envoi par IBIS des notes finales prévues et des totaux des niveaux par critère</w:t>
            </w:r>
          </w:p>
        </w:tc>
        <w:tc>
          <w:tcPr>
            <w:tcW w:w="1329"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10 avril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10 octobre 2016</w:t>
            </w:r>
          </w:p>
        </w:tc>
      </w:tr>
      <w:tr w:rsidR="00470DC0" w:rsidRPr="00004392" w:rsidTr="00A928F2">
        <w:trPr>
          <w:trHeight w:val="513"/>
        </w:trPr>
        <w:tc>
          <w:tcPr>
            <w:tcW w:w="2249" w:type="pct"/>
            <w:shd w:val="clear" w:color="auto" w:fill="auto"/>
            <w:tcMar>
              <w:top w:w="15" w:type="dxa"/>
              <w:left w:w="108" w:type="dxa"/>
              <w:bottom w:w="0" w:type="dxa"/>
              <w:right w:w="108" w:type="dxa"/>
            </w:tcMar>
            <w:vAlign w:val="center"/>
            <w:hideMark/>
          </w:tcPr>
          <w:p w:rsidR="00470DC0" w:rsidRPr="006E681F" w:rsidRDefault="00470DC0" w:rsidP="006E681F">
            <w:pPr>
              <w:jc w:val="both"/>
              <w:rPr>
                <w:rFonts w:ascii="Arial" w:hAnsi="Arial" w:cs="Arial"/>
                <w:lang w:val="fr-FR"/>
              </w:rPr>
            </w:pPr>
            <w:r>
              <w:rPr>
                <w:rFonts w:ascii="Arial" w:hAnsi="Arial" w:cs="Arial"/>
                <w:lang w:val="fr"/>
              </w:rPr>
              <w:t>Échéance pour l'envoi des échantillons des projets sur le système de chargement de travaux d'élèves</w:t>
            </w:r>
          </w:p>
        </w:tc>
        <w:tc>
          <w:tcPr>
            <w:tcW w:w="1329"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20 avril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20 octobre 2016</w:t>
            </w:r>
          </w:p>
        </w:tc>
      </w:tr>
      <w:tr w:rsidR="00470DC0" w:rsidRPr="00004392" w:rsidTr="00A928F2">
        <w:trPr>
          <w:trHeight w:val="340"/>
        </w:trPr>
        <w:tc>
          <w:tcPr>
            <w:tcW w:w="2249" w:type="pct"/>
            <w:shd w:val="clear" w:color="auto" w:fill="auto"/>
            <w:tcMar>
              <w:top w:w="15" w:type="dxa"/>
              <w:left w:w="108" w:type="dxa"/>
              <w:bottom w:w="0" w:type="dxa"/>
              <w:right w:w="108" w:type="dxa"/>
            </w:tcMar>
            <w:vAlign w:val="center"/>
            <w:hideMark/>
          </w:tcPr>
          <w:p w:rsidR="00470DC0" w:rsidRPr="006E681F" w:rsidRDefault="00470DC0" w:rsidP="006E681F">
            <w:pPr>
              <w:jc w:val="both"/>
              <w:rPr>
                <w:rFonts w:ascii="Arial" w:hAnsi="Arial" w:cs="Arial"/>
                <w:lang w:val="fr-FR"/>
              </w:rPr>
            </w:pPr>
            <w:r>
              <w:rPr>
                <w:rFonts w:ascii="Arial" w:hAnsi="Arial" w:cs="Arial"/>
                <w:lang w:val="fr"/>
              </w:rPr>
              <w:t>Publication des résultats à partir de midi (GMT)</w:t>
            </w:r>
          </w:p>
        </w:tc>
        <w:tc>
          <w:tcPr>
            <w:tcW w:w="1329"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1</w:t>
            </w:r>
            <w:r>
              <w:rPr>
                <w:rFonts w:ascii="Arial" w:hAnsi="Arial" w:cs="Arial"/>
                <w:vertAlign w:val="superscript"/>
                <w:lang w:val="fr"/>
              </w:rPr>
              <w:t>er</w:t>
            </w:r>
            <w:r>
              <w:rPr>
                <w:rFonts w:ascii="Arial" w:hAnsi="Arial" w:cs="Arial"/>
                <w:lang w:val="fr"/>
              </w:rPr>
              <w:t> août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1</w:t>
            </w:r>
            <w:r>
              <w:rPr>
                <w:rFonts w:ascii="Arial" w:hAnsi="Arial" w:cs="Arial"/>
                <w:vertAlign w:val="superscript"/>
                <w:lang w:val="fr"/>
              </w:rPr>
              <w:t>er</w:t>
            </w:r>
            <w:r>
              <w:rPr>
                <w:rFonts w:ascii="Arial" w:hAnsi="Arial" w:cs="Arial"/>
                <w:lang w:val="fr"/>
              </w:rPr>
              <w:t> février 2017</w:t>
            </w:r>
          </w:p>
        </w:tc>
      </w:tr>
      <w:tr w:rsidR="00470DC0" w:rsidRPr="00004392" w:rsidTr="00A928F2">
        <w:trPr>
          <w:trHeight w:val="446"/>
        </w:trPr>
        <w:tc>
          <w:tcPr>
            <w:tcW w:w="2249" w:type="pct"/>
            <w:shd w:val="clear" w:color="auto" w:fill="auto"/>
            <w:tcMar>
              <w:top w:w="15" w:type="dxa"/>
              <w:left w:w="108" w:type="dxa"/>
              <w:bottom w:w="0" w:type="dxa"/>
              <w:right w:w="108" w:type="dxa"/>
            </w:tcMar>
            <w:vAlign w:val="center"/>
            <w:hideMark/>
          </w:tcPr>
          <w:p w:rsidR="00470DC0" w:rsidRPr="006E681F" w:rsidRDefault="00470DC0" w:rsidP="006E681F">
            <w:pPr>
              <w:jc w:val="both"/>
              <w:rPr>
                <w:rFonts w:ascii="Arial" w:hAnsi="Arial" w:cs="Arial"/>
                <w:lang w:val="fr-FR"/>
              </w:rPr>
            </w:pPr>
            <w:r>
              <w:rPr>
                <w:rFonts w:ascii="Arial" w:hAnsi="Arial" w:cs="Arial"/>
                <w:lang w:val="fr"/>
              </w:rPr>
              <w:t>Début du dépôt des réclamations concernant les résultats</w:t>
            </w:r>
          </w:p>
        </w:tc>
        <w:tc>
          <w:tcPr>
            <w:tcW w:w="1329"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1</w:t>
            </w:r>
            <w:r>
              <w:rPr>
                <w:rFonts w:ascii="Arial" w:hAnsi="Arial" w:cs="Arial"/>
                <w:vertAlign w:val="superscript"/>
                <w:lang w:val="fr"/>
              </w:rPr>
              <w:t>er</w:t>
            </w:r>
            <w:r>
              <w:rPr>
                <w:rFonts w:ascii="Arial" w:hAnsi="Arial" w:cs="Arial"/>
                <w:lang w:val="fr"/>
              </w:rPr>
              <w:t> août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1</w:t>
            </w:r>
            <w:r>
              <w:rPr>
                <w:rFonts w:ascii="Arial" w:hAnsi="Arial" w:cs="Arial"/>
                <w:vertAlign w:val="superscript"/>
                <w:lang w:val="fr"/>
              </w:rPr>
              <w:t>er</w:t>
            </w:r>
            <w:r>
              <w:rPr>
                <w:rFonts w:ascii="Arial" w:hAnsi="Arial" w:cs="Arial"/>
                <w:lang w:val="fr"/>
              </w:rPr>
              <w:t> février 2017</w:t>
            </w:r>
          </w:p>
        </w:tc>
      </w:tr>
      <w:tr w:rsidR="00470DC0" w:rsidRPr="00004392" w:rsidTr="00A928F2">
        <w:trPr>
          <w:trHeight w:val="552"/>
        </w:trPr>
        <w:tc>
          <w:tcPr>
            <w:tcW w:w="2249" w:type="pct"/>
            <w:shd w:val="clear" w:color="auto" w:fill="auto"/>
            <w:tcMar>
              <w:top w:w="15" w:type="dxa"/>
              <w:left w:w="108" w:type="dxa"/>
              <w:bottom w:w="0" w:type="dxa"/>
              <w:right w:w="108" w:type="dxa"/>
            </w:tcMar>
            <w:vAlign w:val="center"/>
            <w:hideMark/>
          </w:tcPr>
          <w:p w:rsidR="00470DC0" w:rsidRPr="006E681F" w:rsidRDefault="00470DC0" w:rsidP="006E681F">
            <w:pPr>
              <w:jc w:val="both"/>
              <w:rPr>
                <w:rFonts w:ascii="Arial" w:hAnsi="Arial" w:cs="Arial"/>
                <w:lang w:val="fr-FR"/>
              </w:rPr>
            </w:pPr>
            <w:r>
              <w:rPr>
                <w:rFonts w:ascii="Arial" w:hAnsi="Arial" w:cs="Arial"/>
                <w:lang w:val="fr"/>
              </w:rPr>
              <w:lastRenderedPageBreak/>
              <w:t>Date limite pour le dépôt des réclamations concernant les résultats</w:t>
            </w:r>
          </w:p>
        </w:tc>
        <w:tc>
          <w:tcPr>
            <w:tcW w:w="1329"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15 octobre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6E681F">
            <w:pPr>
              <w:jc w:val="both"/>
              <w:rPr>
                <w:rFonts w:ascii="Arial" w:hAnsi="Arial" w:cs="Arial"/>
              </w:rPr>
            </w:pPr>
            <w:r>
              <w:rPr>
                <w:rFonts w:ascii="Arial" w:hAnsi="Arial" w:cs="Arial"/>
                <w:lang w:val="fr"/>
              </w:rPr>
              <w:t>15 avril 2017</w:t>
            </w:r>
          </w:p>
        </w:tc>
      </w:tr>
    </w:tbl>
    <w:p w:rsidR="00470DC0" w:rsidRPr="00004392" w:rsidRDefault="00470DC0" w:rsidP="006E681F">
      <w:pPr>
        <w:autoSpaceDE w:val="0"/>
        <w:autoSpaceDN w:val="0"/>
        <w:adjustRightInd w:val="0"/>
        <w:spacing w:after="0" w:line="240" w:lineRule="auto"/>
        <w:jc w:val="both"/>
        <w:rPr>
          <w:rFonts w:ascii="Arial" w:hAnsi="Arial" w:cs="Arial"/>
        </w:rPr>
      </w:pPr>
    </w:p>
    <w:p w:rsidR="00470DC0" w:rsidRPr="00004392" w:rsidRDefault="00470DC0" w:rsidP="006E681F">
      <w:pPr>
        <w:autoSpaceDE w:val="0"/>
        <w:autoSpaceDN w:val="0"/>
        <w:adjustRightInd w:val="0"/>
        <w:spacing w:after="0" w:line="240" w:lineRule="auto"/>
        <w:jc w:val="both"/>
        <w:rPr>
          <w:rFonts w:ascii="Arial" w:hAnsi="Arial" w:cs="Arial"/>
          <w:b/>
        </w:rPr>
      </w:pPr>
      <w:r>
        <w:rPr>
          <w:rFonts w:ascii="Arial" w:hAnsi="Arial" w:cs="Arial"/>
          <w:b/>
          <w:bCs/>
          <w:lang w:val="fr"/>
        </w:rPr>
        <w:t>Informations complémentaires et assistance</w:t>
      </w:r>
    </w:p>
    <w:p w:rsidR="007F2FA5" w:rsidRPr="006E681F" w:rsidRDefault="00470DC0" w:rsidP="006E681F">
      <w:pPr>
        <w:autoSpaceDE w:val="0"/>
        <w:autoSpaceDN w:val="0"/>
        <w:adjustRightInd w:val="0"/>
        <w:spacing w:after="0" w:line="240" w:lineRule="auto"/>
        <w:jc w:val="both"/>
        <w:rPr>
          <w:lang w:val="fr-FR"/>
        </w:rPr>
      </w:pPr>
      <w:r>
        <w:rPr>
          <w:rFonts w:ascii="Arial" w:hAnsi="Arial" w:cs="Arial"/>
          <w:lang w:val="fr"/>
        </w:rPr>
        <w:t>Les établissements désirant de plus amples renseignements ou une assistance sont invités à contacter le service L’IB vous r</w:t>
      </w:r>
      <w:bookmarkStart w:id="0" w:name="_GoBack"/>
      <w:bookmarkEnd w:id="0"/>
      <w:r>
        <w:rPr>
          <w:rFonts w:ascii="Arial" w:hAnsi="Arial" w:cs="Arial"/>
          <w:lang w:val="fr"/>
        </w:rPr>
        <w:t xml:space="preserve">épond à l'adresse </w:t>
      </w:r>
      <w:hyperlink r:id="rId5" w:history="1">
        <w:r>
          <w:rPr>
            <w:rStyle w:val="Hyperlink"/>
            <w:rFonts w:ascii="Arial" w:hAnsi="Arial" w:cs="Arial"/>
            <w:lang w:val="fr"/>
          </w:rPr>
          <w:t>ibid@ibo.org</w:t>
        </w:r>
      </w:hyperlink>
      <w:r>
        <w:rPr>
          <w:rFonts w:ascii="Arial" w:hAnsi="Arial" w:cs="Arial"/>
          <w:lang w:val="fr"/>
        </w:rPr>
        <w:t>.</w:t>
      </w:r>
    </w:p>
    <w:sectPr w:rsidR="007F2FA5" w:rsidRPr="006E681F" w:rsidSect="00A928F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537E"/>
    <w:multiLevelType w:val="hybridMultilevel"/>
    <w:tmpl w:val="A4886038"/>
    <w:lvl w:ilvl="0" w:tplc="93A6C1D6">
      <w:start w:val="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C0"/>
    <w:rsid w:val="00006560"/>
    <w:rsid w:val="000D76B3"/>
    <w:rsid w:val="00302BE0"/>
    <w:rsid w:val="00431A98"/>
    <w:rsid w:val="00470DC0"/>
    <w:rsid w:val="004B2EFC"/>
    <w:rsid w:val="00560D8F"/>
    <w:rsid w:val="0056688D"/>
    <w:rsid w:val="006E681F"/>
    <w:rsid w:val="007F2FA5"/>
    <w:rsid w:val="00800BE2"/>
    <w:rsid w:val="0081148F"/>
    <w:rsid w:val="00A6324D"/>
    <w:rsid w:val="00A928F2"/>
    <w:rsid w:val="00AC280E"/>
    <w:rsid w:val="00AD72AA"/>
    <w:rsid w:val="00B7615E"/>
    <w:rsid w:val="00BC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72FB1-3941-478F-9383-4429154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DC0"/>
    <w:rPr>
      <w:color w:val="0563C1" w:themeColor="hyperlink"/>
      <w:u w:val="single"/>
    </w:rPr>
  </w:style>
  <w:style w:type="paragraph" w:styleId="BalloonText">
    <w:name w:val="Balloon Text"/>
    <w:basedOn w:val="Normal"/>
    <w:link w:val="BalloonTextChar"/>
    <w:uiPriority w:val="99"/>
    <w:semiHidden/>
    <w:unhideWhenUsed/>
    <w:rsid w:val="00302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E0"/>
    <w:rPr>
      <w:rFonts w:ascii="Segoe UI" w:hAnsi="Segoe UI" w:cs="Segoe UI"/>
      <w:sz w:val="18"/>
      <w:szCs w:val="18"/>
    </w:rPr>
  </w:style>
  <w:style w:type="paragraph" w:styleId="ListParagraph">
    <w:name w:val="List Paragraph"/>
    <w:basedOn w:val="Normal"/>
    <w:uiPriority w:val="34"/>
    <w:qFormat/>
    <w:rsid w:val="00302BE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id@ib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Organization</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Taverner</dc:creator>
  <cp:keywords/>
  <dc:description/>
  <cp:lastModifiedBy>Marie Spillemaecker</cp:lastModifiedBy>
  <cp:revision>4</cp:revision>
  <dcterms:created xsi:type="dcterms:W3CDTF">2015-10-14T07:30:00Z</dcterms:created>
  <dcterms:modified xsi:type="dcterms:W3CDTF">2016-01-06T17:31:00Z</dcterms:modified>
</cp:coreProperties>
</file>